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4473C" w14:textId="77777777" w:rsidR="00113F7F" w:rsidRDefault="00113F7F" w:rsidP="00E31912">
      <w:pPr>
        <w:spacing w:after="0" w:line="240" w:lineRule="auto"/>
        <w:jc w:val="center"/>
        <w:textAlignment w:val="baseline"/>
        <w:rPr>
          <w:rFonts w:ascii="IBM Plex Sans" w:eastAsia="Times New Roman" w:hAnsi="IBM Plex Sans" w:cs="Times New Roman"/>
          <w:b/>
          <w:bCs/>
          <w:color w:val="000000"/>
          <w:sz w:val="20"/>
          <w:szCs w:val="20"/>
          <w:lang w:val="en-US" w:eastAsia="en-IN"/>
        </w:rPr>
      </w:pPr>
    </w:p>
    <w:p w14:paraId="04D8E709" w14:textId="028A6293" w:rsidR="00E31912" w:rsidRPr="00237E19" w:rsidRDefault="00E31912" w:rsidP="00E31912">
      <w:pPr>
        <w:spacing w:after="0" w:line="240" w:lineRule="auto"/>
        <w:jc w:val="center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(On the letterhead of the applicant)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023FD98" w14:textId="5BD54A58" w:rsidR="00E31912" w:rsidRPr="00237E19" w:rsidRDefault="00BC4D50" w:rsidP="00E31912">
      <w:pPr>
        <w:spacing w:after="0" w:line="240" w:lineRule="auto"/>
        <w:jc w:val="center"/>
        <w:textAlignment w:val="baseline"/>
        <w:rPr>
          <w:rFonts w:ascii="IBM Plex Sans" w:eastAsia="Times New Roman" w:hAnsi="IBM Plex Sans" w:cs="Segoe UI"/>
          <w:b/>
          <w:bCs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b/>
          <w:bCs/>
          <w:color w:val="000000"/>
          <w:sz w:val="20"/>
          <w:szCs w:val="20"/>
          <w:lang w:val="en-US" w:eastAsia="en-IN"/>
        </w:rPr>
        <w:t xml:space="preserve">Undertaking </w:t>
      </w:r>
      <w:r w:rsidR="00E31912" w:rsidRPr="00237E19">
        <w:rPr>
          <w:rFonts w:ascii="IBM Plex Sans" w:eastAsia="Times New Roman" w:hAnsi="IBM Plex Sans" w:cs="Times New Roman"/>
          <w:b/>
          <w:bCs/>
          <w:color w:val="000000"/>
          <w:sz w:val="20"/>
          <w:szCs w:val="20"/>
          <w:lang w:val="en-US" w:eastAsia="en-IN"/>
        </w:rPr>
        <w:t>for Leased Line for accessing NSE-EBP</w:t>
      </w:r>
      <w:r w:rsidR="00E31912" w:rsidRPr="00237E19"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  <w:t> </w:t>
      </w:r>
    </w:p>
    <w:p w14:paraId="4FC461F8" w14:textId="77777777" w:rsidR="00E31912" w:rsidRPr="00237E19" w:rsidRDefault="00E31912" w:rsidP="00E31912">
      <w:pPr>
        <w:spacing w:after="0" w:line="240" w:lineRule="auto"/>
        <w:jc w:val="center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BEF5850" w14:textId="7E0F599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I/</w:t>
      </w:r>
      <w:r w:rsidR="002851F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We …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……………. (Name of the applicant) hereby apply for activation of Leased Line (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‘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LL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’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) under Self Service mode at our Main/ Branch/ Registered/ Corporate Office</w:t>
      </w:r>
      <w:r w:rsidR="008E22BA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/Third Party Data center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 (strike out whichever is not applicable) for accessing </w:t>
      </w:r>
      <w:r w:rsidRPr="00237E19">
        <w:rPr>
          <w:rFonts w:ascii="IBM Plex Sans" w:eastAsia="Times New Roman" w:hAnsi="IBM Plex Sans" w:cs="Times New Roman"/>
          <w:sz w:val="20"/>
          <w:szCs w:val="20"/>
          <w:lang w:val="en-US" w:eastAsia="en-IN"/>
        </w:rPr>
        <w:t>N</w:t>
      </w:r>
      <w:r w:rsidR="00823F38" w:rsidRPr="00237E19">
        <w:rPr>
          <w:rFonts w:ascii="IBM Plex Sans" w:eastAsia="Times New Roman" w:hAnsi="IBM Plex Sans" w:cs="Times New Roman"/>
          <w:sz w:val="20"/>
          <w:szCs w:val="20"/>
          <w:lang w:val="en-US" w:eastAsia="en-IN"/>
        </w:rPr>
        <w:t>ational Stock Exchange of India Limited</w:t>
      </w:r>
      <w:r w:rsidRPr="00237E19">
        <w:rPr>
          <w:rFonts w:ascii="IBM Plex Sans" w:eastAsia="Times New Roman" w:hAnsi="IBM Plex Sans" w:cs="Times New Roman"/>
          <w:sz w:val="20"/>
          <w:szCs w:val="20"/>
          <w:lang w:val="en-US" w:eastAsia="en-IN"/>
        </w:rPr>
        <w:t>'s Electronic Debt Bidding platform (NSE-EBP)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, the details of which are given below: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681BBA25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4857"/>
        <w:gridCol w:w="3453"/>
      </w:tblGrid>
      <w:tr w:rsidR="00E31912" w:rsidRPr="00237E19" w14:paraId="1B9E2114" w14:textId="77777777" w:rsidTr="001B4193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C1096B" w14:textId="384938C6" w:rsidR="00E31912" w:rsidRPr="00237E19" w:rsidRDefault="007F7777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1.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92F788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Name of the applicant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2EF5F2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</w:tr>
      <w:tr w:rsidR="00E31912" w:rsidRPr="00237E19" w14:paraId="68E525B3" w14:textId="77777777" w:rsidTr="001B4193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67BFC7" w14:textId="4C14B87F" w:rsidR="00E31912" w:rsidRPr="00237E19" w:rsidRDefault="007F7777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2.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350205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Registration Code (SEBI/RBI/Regulatory body)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9B53A8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</w:tr>
      <w:tr w:rsidR="00E31912" w:rsidRPr="00237E19" w14:paraId="403EB3A7" w14:textId="77777777" w:rsidTr="001B4193">
        <w:trPr>
          <w:trHeight w:val="55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E443C8" w14:textId="607877D6" w:rsidR="00E31912" w:rsidRPr="00237E19" w:rsidRDefault="00E31912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3.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091DE3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Bandwidth (Mbps)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  <w:p w14:paraId="0F6E3B35" w14:textId="17E8240D" w:rsidR="00E31912" w:rsidRPr="009A7BD2" w:rsidRDefault="009A7BD2" w:rsidP="001B4193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B</w:t>
            </w:r>
            <w:r w:rsidR="00C63CAD"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andwidth</w:t>
            </w:r>
            <w:r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 Options</w:t>
            </w:r>
          </w:p>
          <w:p w14:paraId="05C8625C" w14:textId="77777777" w:rsidR="009A7BD2" w:rsidRDefault="009A7BD2" w:rsidP="009A7BD2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  <w:p w14:paraId="2DF92C2C" w14:textId="26780D15" w:rsidR="009A7BD2" w:rsidRDefault="009A7BD2" w:rsidP="009A7BD2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Read about – Connectivity options at NSE at below path of the Exchange website.</w:t>
            </w:r>
          </w:p>
          <w:p w14:paraId="56F75889" w14:textId="0A439D6B" w:rsidR="009A7BD2" w:rsidRDefault="009A7BD2" w:rsidP="009A7BD2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hyperlink r:id="rId8" w:history="1">
              <w:r w:rsidRPr="0033493B">
                <w:rPr>
                  <w:rStyle w:val="Hyperlink"/>
                  <w:rFonts w:ascii="IBM Plex Sans" w:eastAsia="Times New Roman" w:hAnsi="IBM Plex Sans" w:cs="Times New Roman"/>
                  <w:sz w:val="20"/>
                  <w:szCs w:val="20"/>
                  <w:lang w:eastAsia="en-IN"/>
                </w:rPr>
                <w:t>https://www.nseindia.com</w:t>
              </w:r>
            </w:hyperlink>
            <w:r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&gt; Trade&gt; Connectivity &amp; User id &gt; Types of Connectivity</w:t>
            </w:r>
          </w:p>
          <w:p w14:paraId="1A12E536" w14:textId="4B205732" w:rsidR="009A7BD2" w:rsidRDefault="009A7BD2" w:rsidP="009A7BD2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  <w:p w14:paraId="49CC32DB" w14:textId="3C40487C" w:rsidR="009A7BD2" w:rsidRPr="00237E19" w:rsidRDefault="009A7BD2" w:rsidP="009A7BD2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C7C789" w14:textId="39717DC9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br/>
            </w: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Please </w:t>
            </w:r>
            <w:r w:rsidR="007C4D9E"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S</w:t>
            </w:r>
            <w:r w:rsidR="007C4D9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pecify </w:t>
            </w:r>
            <w:r w:rsidR="007C4D9E"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–</w:t>
            </w: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_______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</w:tr>
      <w:tr w:rsidR="00E31912" w:rsidRPr="00237E19" w14:paraId="5019F8F9" w14:textId="77777777" w:rsidTr="001B4193">
        <w:trPr>
          <w:trHeight w:val="67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7EE230" w14:textId="20534AF0" w:rsidR="00E31912" w:rsidRPr="00237E19" w:rsidRDefault="00E31912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4.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B82114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*Name of Leased Line Service Provider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D9EDB5" w14:textId="4497DCA8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Tick </w:t>
            </w:r>
            <w:r w:rsidR="007C4D9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anyone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r w:rsidR="00572C5B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-</w:t>
            </w:r>
          </w:p>
          <w:p w14:paraId="3B8112BE" w14:textId="77777777" w:rsidR="00E31912" w:rsidRPr="00237E19" w:rsidRDefault="00E31912" w:rsidP="001B4193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TCL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  <w:p w14:paraId="61B8E2A1" w14:textId="77777777" w:rsidR="00E31912" w:rsidRPr="00237E19" w:rsidRDefault="00E31912" w:rsidP="001B4193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Bharti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  <w:p w14:paraId="5701102B" w14:textId="77777777" w:rsidR="00E31912" w:rsidRPr="00237E19" w:rsidRDefault="00E31912" w:rsidP="001B4193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MTNL/BSNL </w:t>
            </w:r>
          </w:p>
          <w:p w14:paraId="143E7AEF" w14:textId="77777777" w:rsidR="001B4193" w:rsidRPr="00237E19" w:rsidRDefault="001B4193" w:rsidP="001B4193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</w:pPr>
            <w:proofErr w:type="spellStart"/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Tikona</w:t>
            </w:r>
            <w:proofErr w:type="spellEnd"/>
          </w:p>
          <w:p w14:paraId="0CDB3201" w14:textId="1C454709" w:rsidR="001B4193" w:rsidRPr="00237E19" w:rsidRDefault="001B4193" w:rsidP="001B4193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proofErr w:type="spellStart"/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Microscan</w:t>
            </w:r>
            <w:proofErr w:type="spellEnd"/>
          </w:p>
        </w:tc>
      </w:tr>
      <w:tr w:rsidR="00E31912" w:rsidRPr="00237E19" w14:paraId="4A62F5B8" w14:textId="77777777" w:rsidTr="001B4193">
        <w:trPr>
          <w:trHeight w:val="70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15388" w14:textId="4A566496" w:rsidR="00E31912" w:rsidRPr="00237E19" w:rsidRDefault="00E31912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5.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9E518A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*Point of Presence (POP) Location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AD967" w14:textId="7D48F30B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Please select from the Annexure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r w:rsidR="0029407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2</w:t>
            </w:r>
            <w:r w:rsidR="00BA0D68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of </w:t>
            </w:r>
            <w:r w:rsidR="00BB7713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Circular ref no. </w:t>
            </w:r>
            <w:r w:rsidR="00BA0D68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NSE/MSD/61837</w:t>
            </w:r>
          </w:p>
        </w:tc>
      </w:tr>
      <w:tr w:rsidR="00E31912" w:rsidRPr="00237E19" w14:paraId="58180BB8" w14:textId="77777777" w:rsidTr="001B4193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79819D" w14:textId="74E7AF61" w:rsidR="00E31912" w:rsidRPr="00237E19" w:rsidRDefault="00E31912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6.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6E41D9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bookmarkStart w:id="0" w:name="_Hlk160194747"/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Address, telephone number and fax number of the office where the LL is proposed to be activated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bookmarkEnd w:id="0"/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E0E531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  <w:p w14:paraId="53C56DF4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br/>
              <w:t>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br/>
              <w:t> </w:t>
            </w:r>
          </w:p>
        </w:tc>
      </w:tr>
      <w:tr w:rsidR="00E31912" w:rsidRPr="00237E19" w14:paraId="43522DB5" w14:textId="77777777" w:rsidTr="001B4193">
        <w:trPr>
          <w:trHeight w:val="64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868922" w14:textId="6F5C8625" w:rsidR="00E31912" w:rsidRPr="00237E19" w:rsidRDefault="00E31912" w:rsidP="001B4193">
            <w:pPr>
              <w:spacing w:after="0" w:line="240" w:lineRule="auto"/>
              <w:jc w:val="center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7.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47976C" w14:textId="5183974F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Name, Contact Number, E-mail </w:t>
            </w:r>
            <w:r w:rsidR="00C63CAD"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>ID &amp;</w:t>
            </w:r>
            <w:r w:rsidRPr="00237E19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val="en-US" w:eastAsia="en-IN"/>
              </w:rPr>
              <w:t xml:space="preserve"> Designation of the person in-charge of the office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88DB4E" w14:textId="77777777" w:rsidR="00E31912" w:rsidRPr="00237E19" w:rsidRDefault="00E31912" w:rsidP="001B4193">
            <w:pPr>
              <w:spacing w:after="0" w:line="240" w:lineRule="auto"/>
              <w:textAlignment w:val="baseline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br/>
              <w:t> </w:t>
            </w:r>
            <w:r w:rsidRPr="00237E19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br/>
              <w:t> </w:t>
            </w:r>
          </w:p>
        </w:tc>
      </w:tr>
    </w:tbl>
    <w:p w14:paraId="42B04196" w14:textId="79003589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*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NSEIL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circulars regarding </w:t>
      </w:r>
      <w:r w:rsidR="007653B5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LL connectivity 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need to be referred for updated information. 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7ED0E03E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2E37B90A" w14:textId="6C2454C5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hereby IRREVOCABLY AND UNCONDITIONALLY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undertake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agree to abide by and be bound by the following terms and conditions: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2AC27AB1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1E9ABC6" w14:textId="38FAA495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shall submit all documentation </w:t>
      </w:r>
      <w:r w:rsidR="00222216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as may be required by NSEIL from time to time </w:t>
      </w:r>
      <w:proofErr w:type="gramStart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with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regard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to</w:t>
      </w:r>
      <w:proofErr w:type="gramEnd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the address</w:t>
      </w:r>
      <w:r w:rsidR="00222216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of the office where the LL is proposed to be activated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7C6F8BBD" w14:textId="3472ABDC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agree and undertake that the information provided in the above form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and other related documents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is 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true,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complete and accurate, to the best of my knowledge. I/We further agree and understand that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</w:t>
      </w:r>
      <w:r w:rsidR="00222216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may rely on the information provided by me/us, without any verification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</w:t>
      </w:r>
      <w:r w:rsidR="00222216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that NSEIL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shall not be liable for any omissions/errors made by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me/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us in providing the accurate information/details as required in the above form</w:t>
      </w:r>
      <w:r w:rsidR="007653B5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other related documents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5E50D66F" w14:textId="328D3B30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Information/details provided in the form above can be changed</w:t>
      </w:r>
      <w:r w:rsidR="00DB2DC2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before commission of such 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LL connectivity</w:t>
      </w:r>
      <w:r w:rsidR="00DB2DC2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however, the same shall be subject to prior approval of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.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reserves the right to reject such changes proposed to be made by me/us, and such </w:t>
      </w:r>
      <w:proofErr w:type="gramStart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decision</w:t>
      </w:r>
      <w:proofErr w:type="gramEnd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shall be final and binding upon me/us. However, such approval shall not be unreasonably withheld.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5E3F4C25" w14:textId="6F247661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lastRenderedPageBreak/>
        <w:t xml:space="preserve">I/We shall be liable to pay the processing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fees,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or any other charges (if applicable) as intimated by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from time to time.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D590FE4" w14:textId="64DE4E30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are aware that the 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LL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commissioning,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procurement,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maintenance </w:t>
      </w:r>
      <w:proofErr w:type="gramStart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has to</w:t>
      </w:r>
      <w:proofErr w:type="gramEnd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be handled entirely at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my/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our end.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CC37F9D" w14:textId="0A50A760" w:rsidR="00E31912" w:rsidRPr="00113F7F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I/We are aware that the N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o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O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bjection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C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ertificate (NOC)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by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is exclusively provided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for the purpose of </w:t>
      </w:r>
      <w:r w:rsidR="007653B5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connectivity and is 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based on the specific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request 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made i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 the form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provided above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. The NOC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must not be construed as an approval by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for any other request.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65C5032" w14:textId="77777777" w:rsidR="00113F7F" w:rsidRPr="00237E19" w:rsidRDefault="00113F7F" w:rsidP="00113F7F">
      <w:pPr>
        <w:pStyle w:val="ListParagraph"/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</w:p>
    <w:p w14:paraId="13035F16" w14:textId="06B19B2B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I/We agree that I/We shall abide by the Exchange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Byelaws, Rules, Regulations,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applicable </w:t>
      </w:r>
      <w:proofErr w:type="gramStart"/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guidelines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,and</w:t>
      </w:r>
      <w:proofErr w:type="gramEnd"/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circulars including circular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issued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in relation to the Minimum Recommended Router Specification for Self Service Mode dated March 26,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2018,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bearing reference no. NSE/MSD/37300, and any amendments or modifications made thereto.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363998D" w14:textId="669A8268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understand that I/We shall abide by all procedural formalities/requirements/compliances with respect to 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connectivity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as prescribed by the Exchange from time to time.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F065F70" w14:textId="4E6D78C9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agree and confirm that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does not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warrant the accuracy, adequacy or completeness of the 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connectivity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expressly disclaims liability for errors,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omissions,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fluctuations in the same. In no event,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NSEIL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shall be liable for any 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direct or indirect claims, loss (including but not limited to loss of profits, business and data), liability, demands,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damages</w:t>
      </w:r>
      <w:r w:rsidR="00185CDA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or expenses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arising in connection with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or related to</w:t>
      </w:r>
      <w:r w:rsidR="00BC4D50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: a)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the LL or use thereof or inability to use by any party, or in connection with any failure of performance, latency in links, error, omission, interruption and/or defect therein</w:t>
      </w:r>
      <w:r w:rsidR="00BC4D50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and/or; b) non-compliance of any of terms of this Undertaking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5287FB6B" w14:textId="5EA8ABA5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I/We undertake that in the event I/We do not wish to proceed with procurement of the LL connectivity for any reason whatsoever, I/We shall, prior to commencement/activation of the 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connectivity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, cancel the request submitted by me/us. In the event the LL connectivity is already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activated,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and I/We do not wish to proceed with the procured 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connectivity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, I/We shall</w:t>
      </w:r>
      <w:r w:rsidR="0032608B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immediately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surrender the said LL connectivity.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40299E5D" w14:textId="77777777" w:rsidR="00C63CAD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I/We are aware that the POP addresses and existing service providers are subject to change and termination with prior notification. In the event of such changes and/or termination I/We shall abide by the notifications/directions of the Exchange from time to time.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2933852" w14:textId="0EA6F24B" w:rsidR="00E31912" w:rsidRPr="00237E19" w:rsidRDefault="00E31912" w:rsidP="00C63CAD">
      <w:pPr>
        <w:pStyle w:val="ListParagraph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I/We declare to abide by </w:t>
      </w:r>
      <w:r w:rsidR="00340E87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all applicable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rules/regulations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/circulars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issued or modified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by SEBI</w:t>
      </w:r>
      <w:r w:rsidR="00340E87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or any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other </w:t>
      </w:r>
      <w:r w:rsidR="00823F38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regulatory authorities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from time to time.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54E45D48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57DB7589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938F591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9318BA0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CC64BB2" w14:textId="77777777" w:rsidR="00E31912" w:rsidRPr="00237E19" w:rsidRDefault="00E31912" w:rsidP="00E31912">
      <w:pPr>
        <w:spacing w:after="0" w:line="240" w:lineRule="auto"/>
        <w:ind w:left="780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1E52CBF3" w14:textId="77777777" w:rsidR="00E31912" w:rsidRPr="00237E19" w:rsidRDefault="00E31912" w:rsidP="00E31912">
      <w:pPr>
        <w:spacing w:after="0" w:line="240" w:lineRule="auto"/>
        <w:ind w:left="420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2C886EC2" w14:textId="167DC71D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Date:                         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                                                                        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____________________________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90DD090" w14:textId="2EBB2C67" w:rsidR="00E31912" w:rsidRPr="00237E19" w:rsidRDefault="00E31912" w:rsidP="00E31912">
      <w:pPr>
        <w:spacing w:after="0" w:line="240" w:lineRule="auto"/>
        <w:ind w:firstLine="1440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              </w:t>
      </w:r>
      <w:r w:rsidR="00C63CAD"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 xml:space="preserve">                                                                </w:t>
      </w:r>
      <w:r w:rsidRPr="00237E19">
        <w:rPr>
          <w:rFonts w:ascii="IBM Plex Sans" w:eastAsia="Times New Roman" w:hAnsi="IBM Plex Sans" w:cs="Times New Roman"/>
          <w:color w:val="000000"/>
          <w:sz w:val="20"/>
          <w:szCs w:val="20"/>
          <w:lang w:val="en-US" w:eastAsia="en-IN"/>
        </w:rPr>
        <w:t>Signature &amp; Stamp of the applicant</w:t>
      </w: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7206CDBF" w14:textId="77777777" w:rsidR="00E31912" w:rsidRPr="00237E19" w:rsidRDefault="00E31912" w:rsidP="00E31912">
      <w:p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A100363" w14:textId="77777777" w:rsidR="00E31912" w:rsidRPr="00237E19" w:rsidRDefault="00E31912" w:rsidP="00E31912">
      <w:pPr>
        <w:spacing w:after="0" w:line="240" w:lineRule="auto"/>
        <w:ind w:left="705" w:hanging="135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235EAF21" w14:textId="77777777" w:rsidR="00E31912" w:rsidRPr="00237E19" w:rsidRDefault="00E31912" w:rsidP="00E31912">
      <w:pPr>
        <w:spacing w:after="0" w:line="240" w:lineRule="auto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2714761" w14:textId="77777777" w:rsidR="00E31912" w:rsidRPr="00237E19" w:rsidRDefault="00E31912" w:rsidP="00E31912">
      <w:pPr>
        <w:spacing w:after="0" w:line="240" w:lineRule="auto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4ECC052A" w14:textId="77777777" w:rsidR="00E31912" w:rsidRPr="00237E19" w:rsidRDefault="00E31912" w:rsidP="00E31912">
      <w:pPr>
        <w:spacing w:after="0" w:line="240" w:lineRule="auto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03EF0D8E" w14:textId="77777777" w:rsidR="00E31912" w:rsidRPr="00237E19" w:rsidRDefault="00E31912" w:rsidP="00E31912">
      <w:pPr>
        <w:spacing w:after="0" w:line="240" w:lineRule="auto"/>
        <w:ind w:left="4320" w:firstLine="720"/>
        <w:jc w:val="both"/>
        <w:textAlignment w:val="baseline"/>
        <w:rPr>
          <w:rFonts w:ascii="IBM Plex Sans" w:eastAsia="Times New Roman" w:hAnsi="IBM Plex Sans" w:cs="Segoe UI"/>
          <w:sz w:val="20"/>
          <w:szCs w:val="20"/>
          <w:lang w:eastAsia="en-IN"/>
        </w:rPr>
      </w:pPr>
      <w:r w:rsidRPr="00237E19">
        <w:rPr>
          <w:rFonts w:ascii="IBM Plex Sans" w:eastAsia="Times New Roman" w:hAnsi="IBM Plex Sans" w:cs="Times New Roman"/>
          <w:sz w:val="20"/>
          <w:szCs w:val="20"/>
          <w:lang w:eastAsia="en-IN"/>
        </w:rPr>
        <w:t> </w:t>
      </w:r>
    </w:p>
    <w:p w14:paraId="3DCBC12D" w14:textId="77777777" w:rsidR="00CF44DB" w:rsidRPr="00237E19" w:rsidRDefault="00CF44DB">
      <w:pPr>
        <w:rPr>
          <w:rFonts w:ascii="IBM Plex Sans" w:hAnsi="IBM Plex Sans"/>
          <w:sz w:val="20"/>
          <w:szCs w:val="20"/>
        </w:rPr>
      </w:pPr>
    </w:p>
    <w:sectPr w:rsidR="00CF44DB" w:rsidRPr="00237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F03E" w14:textId="77777777" w:rsidR="006F2795" w:rsidRDefault="006F2795" w:rsidP="00DB2DC2">
      <w:pPr>
        <w:spacing w:after="0" w:line="240" w:lineRule="auto"/>
      </w:pPr>
      <w:r>
        <w:separator/>
      </w:r>
    </w:p>
  </w:endnote>
  <w:endnote w:type="continuationSeparator" w:id="0">
    <w:p w14:paraId="577084A0" w14:textId="77777777" w:rsidR="006F2795" w:rsidRDefault="006F2795" w:rsidP="00DB2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347F5" w14:textId="77777777" w:rsidR="006F2795" w:rsidRDefault="006F2795" w:rsidP="00DB2DC2">
      <w:pPr>
        <w:spacing w:after="0" w:line="240" w:lineRule="auto"/>
      </w:pPr>
      <w:r>
        <w:separator/>
      </w:r>
    </w:p>
  </w:footnote>
  <w:footnote w:type="continuationSeparator" w:id="0">
    <w:p w14:paraId="772737D7" w14:textId="77777777" w:rsidR="006F2795" w:rsidRDefault="006F2795" w:rsidP="00DB2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05E55"/>
    <w:multiLevelType w:val="multilevel"/>
    <w:tmpl w:val="3CC4B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772B89"/>
    <w:multiLevelType w:val="hybridMultilevel"/>
    <w:tmpl w:val="E1E6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F31EB"/>
    <w:multiLevelType w:val="multilevel"/>
    <w:tmpl w:val="A266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C05573"/>
    <w:multiLevelType w:val="multilevel"/>
    <w:tmpl w:val="C194C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4373FBE"/>
    <w:multiLevelType w:val="multilevel"/>
    <w:tmpl w:val="25CA2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7428253">
    <w:abstractNumId w:val="0"/>
  </w:num>
  <w:num w:numId="2" w16cid:durableId="238178616">
    <w:abstractNumId w:val="4"/>
  </w:num>
  <w:num w:numId="3" w16cid:durableId="592904420">
    <w:abstractNumId w:val="3"/>
  </w:num>
  <w:num w:numId="4" w16cid:durableId="1433091736">
    <w:abstractNumId w:val="2"/>
  </w:num>
  <w:num w:numId="5" w16cid:durableId="1189953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C8"/>
    <w:rsid w:val="000236BF"/>
    <w:rsid w:val="000B3788"/>
    <w:rsid w:val="000B62F0"/>
    <w:rsid w:val="00113F7F"/>
    <w:rsid w:val="00182078"/>
    <w:rsid w:val="00185CDA"/>
    <w:rsid w:val="001A2A02"/>
    <w:rsid w:val="001B0988"/>
    <w:rsid w:val="001B4193"/>
    <w:rsid w:val="001C2AA9"/>
    <w:rsid w:val="00222216"/>
    <w:rsid w:val="00237E19"/>
    <w:rsid w:val="002851F8"/>
    <w:rsid w:val="00294072"/>
    <w:rsid w:val="0032608B"/>
    <w:rsid w:val="00340E87"/>
    <w:rsid w:val="0036591F"/>
    <w:rsid w:val="004D1D55"/>
    <w:rsid w:val="00525B6E"/>
    <w:rsid w:val="00572C5B"/>
    <w:rsid w:val="005B433A"/>
    <w:rsid w:val="00627CB2"/>
    <w:rsid w:val="00661BCA"/>
    <w:rsid w:val="006F2795"/>
    <w:rsid w:val="007653B5"/>
    <w:rsid w:val="00784BA3"/>
    <w:rsid w:val="007C4D9E"/>
    <w:rsid w:val="007E4AC5"/>
    <w:rsid w:val="007F7777"/>
    <w:rsid w:val="00813722"/>
    <w:rsid w:val="00823F38"/>
    <w:rsid w:val="0083323D"/>
    <w:rsid w:val="008E22BA"/>
    <w:rsid w:val="009543EC"/>
    <w:rsid w:val="009A4689"/>
    <w:rsid w:val="009A7BD2"/>
    <w:rsid w:val="009E6E06"/>
    <w:rsid w:val="00A416A8"/>
    <w:rsid w:val="00A84879"/>
    <w:rsid w:val="00B30FD9"/>
    <w:rsid w:val="00B604CD"/>
    <w:rsid w:val="00B8031F"/>
    <w:rsid w:val="00BA0D68"/>
    <w:rsid w:val="00BB7713"/>
    <w:rsid w:val="00BC4D50"/>
    <w:rsid w:val="00BE48C8"/>
    <w:rsid w:val="00BE6535"/>
    <w:rsid w:val="00C63CAD"/>
    <w:rsid w:val="00CF44DB"/>
    <w:rsid w:val="00DB2DC2"/>
    <w:rsid w:val="00E04699"/>
    <w:rsid w:val="00E077BD"/>
    <w:rsid w:val="00E14DEE"/>
    <w:rsid w:val="00E31912"/>
    <w:rsid w:val="00E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3B253"/>
  <w15:chartTrackingRefBased/>
  <w15:docId w15:val="{B0225D9F-0B7D-47F6-9849-0641E0A3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31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E31912"/>
  </w:style>
  <w:style w:type="character" w:customStyle="1" w:styleId="eop">
    <w:name w:val="eop"/>
    <w:basedOn w:val="DefaultParagraphFont"/>
    <w:rsid w:val="00E31912"/>
  </w:style>
  <w:style w:type="character" w:customStyle="1" w:styleId="contextualspellingandgrammarerror">
    <w:name w:val="contextualspellingandgrammarerror"/>
    <w:basedOn w:val="DefaultParagraphFont"/>
    <w:rsid w:val="00E31912"/>
  </w:style>
  <w:style w:type="character" w:customStyle="1" w:styleId="bcx0">
    <w:name w:val="bcx0"/>
    <w:basedOn w:val="DefaultParagraphFont"/>
    <w:rsid w:val="00E31912"/>
  </w:style>
  <w:style w:type="paragraph" w:styleId="ListParagraph">
    <w:name w:val="List Paragraph"/>
    <w:basedOn w:val="Normal"/>
    <w:uiPriority w:val="34"/>
    <w:qFormat/>
    <w:rsid w:val="00C63C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C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7C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7C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CB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3F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7B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31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13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6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4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2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2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26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4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3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1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8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1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eindi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ACE3-42AF-4AF0-8F18-3B0D7938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</dc:creator>
  <cp:keywords/>
  <dc:description/>
  <cp:lastModifiedBy>Rajesh Karia (MSD)</cp:lastModifiedBy>
  <cp:revision>16</cp:revision>
  <dcterms:created xsi:type="dcterms:W3CDTF">2024-03-04T07:03:00Z</dcterms:created>
  <dcterms:modified xsi:type="dcterms:W3CDTF">2025-01-16T06:11:00Z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2023-06-25T12:01:14Z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4e1de26d-80e9-4728-bae8-28e7a3ebf4e5</vt:lpwstr>
  </property>
  <property fmtid="{D5CDD505-2E9C-101B-9397-08002B2CF9AE}" pid="8" name="MSIP_Label_305f50f5-e953-4c63-867b-388561f41989_ContentBits">
    <vt:lpwstr>0</vt:lpwstr>
  </property>
</Properties>
</file>